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C16E6" w14:textId="77777777" w:rsidR="00724171" w:rsidRDefault="00724171" w:rsidP="004D534F">
      <w:pPr>
        <w:spacing w:line="240" w:lineRule="auto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E45BF2" w:rsidRPr="00354AF6" w14:paraId="6BAEB7A5" w14:textId="77777777" w:rsidTr="008B3BEC">
        <w:trPr>
          <w:jc w:val="center"/>
        </w:trPr>
        <w:tc>
          <w:tcPr>
            <w:tcW w:w="2574" w:type="dxa"/>
          </w:tcPr>
          <w:p w14:paraId="1637553E" w14:textId="77777777" w:rsidR="00E45BF2" w:rsidRPr="00354AF6" w:rsidRDefault="00E45BF2" w:rsidP="004D534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 w:rsidRPr="00354AF6">
              <w:rPr>
                <w:rFonts w:cs="Arial"/>
                <w:sz w:val="22"/>
                <w:szCs w:val="22"/>
              </w:rPr>
              <w:t>Schlüsselwörter</w:t>
            </w:r>
          </w:p>
        </w:tc>
        <w:tc>
          <w:tcPr>
            <w:tcW w:w="6498" w:type="dxa"/>
            <w:gridSpan w:val="2"/>
          </w:tcPr>
          <w:p w14:paraId="63CDDD46" w14:textId="663FF424" w:rsidR="00E45BF2" w:rsidRPr="00354AF6" w:rsidRDefault="00B67328" w:rsidP="004D534F">
            <w:pPr>
              <w:spacing w:after="0" w:line="240" w:lineRule="auto"/>
              <w:rPr>
                <w:rFonts w:ascii="Arial" w:hAnsi="Arial" w:cs="Arial"/>
              </w:rPr>
            </w:pPr>
            <w:r w:rsidRPr="00354AF6">
              <w:rPr>
                <w:rFonts w:ascii="Arial" w:hAnsi="Arial" w:cs="Arial"/>
              </w:rPr>
              <w:t xml:space="preserve">Arzneimittelrisiko; </w:t>
            </w:r>
            <w:r w:rsidR="006D1127" w:rsidRPr="00354AF6">
              <w:rPr>
                <w:rFonts w:ascii="Arial" w:hAnsi="Arial" w:cs="Arial"/>
              </w:rPr>
              <w:t>Maßnahmen</w:t>
            </w:r>
            <w:r w:rsidR="00B450B7" w:rsidRPr="00354AF6">
              <w:rPr>
                <w:rFonts w:ascii="Arial" w:hAnsi="Arial" w:cs="Arial"/>
              </w:rPr>
              <w:t xml:space="preserve"> </w:t>
            </w:r>
          </w:p>
        </w:tc>
      </w:tr>
      <w:tr w:rsidR="00E45BF2" w:rsidRPr="00354AF6" w14:paraId="37B2C3F4" w14:textId="77777777" w:rsidTr="008B3BEC">
        <w:trPr>
          <w:jc w:val="center"/>
        </w:trPr>
        <w:tc>
          <w:tcPr>
            <w:tcW w:w="2574" w:type="dxa"/>
          </w:tcPr>
          <w:p w14:paraId="28C82064" w14:textId="77777777" w:rsidR="00E45BF2" w:rsidRPr="00354AF6" w:rsidRDefault="00E45BF2" w:rsidP="004D534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 w:rsidRPr="00354AF6">
              <w:rPr>
                <w:rFonts w:cs="Arial"/>
                <w:sz w:val="22"/>
                <w:szCs w:val="22"/>
              </w:rPr>
              <w:t>zugrunde liegendes QS-Dokument</w:t>
            </w:r>
          </w:p>
        </w:tc>
        <w:tc>
          <w:tcPr>
            <w:tcW w:w="6498" w:type="dxa"/>
            <w:gridSpan w:val="2"/>
          </w:tcPr>
          <w:p w14:paraId="208F6217" w14:textId="48D7A344" w:rsidR="00E45BF2" w:rsidRPr="00354AF6" w:rsidRDefault="003623AB" w:rsidP="004D534F">
            <w:pPr>
              <w:spacing w:after="0" w:line="240" w:lineRule="auto"/>
              <w:rPr>
                <w:rFonts w:ascii="Arial" w:hAnsi="Arial" w:cs="Arial"/>
              </w:rPr>
            </w:pPr>
            <w:r w:rsidRPr="00354AF6">
              <w:rPr>
                <w:rFonts w:ascii="Arial" w:hAnsi="Arial" w:cs="Arial"/>
              </w:rPr>
              <w:t xml:space="preserve">VAW </w:t>
            </w:r>
            <w:r w:rsidR="00B67328" w:rsidRPr="00354AF6">
              <w:rPr>
                <w:rFonts w:ascii="Arial" w:hAnsi="Arial" w:cs="Arial"/>
              </w:rPr>
              <w:t>121101 „</w:t>
            </w:r>
            <w:r w:rsidR="003D1B34" w:rsidRPr="00354AF6">
              <w:rPr>
                <w:rFonts w:ascii="Arial" w:hAnsi="Arial" w:cs="Arial"/>
              </w:rPr>
              <w:t>Vorgehensweise bei möglichen Qualitätsmängeln</w:t>
            </w:r>
            <w:r w:rsidR="00B67328" w:rsidRPr="00354AF6">
              <w:rPr>
                <w:rFonts w:ascii="Arial" w:hAnsi="Arial" w:cs="Arial"/>
              </w:rPr>
              <w:t>“</w:t>
            </w:r>
          </w:p>
        </w:tc>
      </w:tr>
      <w:tr w:rsidR="00E45BF2" w:rsidRPr="00354AF6" w14:paraId="607D9DE9" w14:textId="77777777" w:rsidTr="008B3BEC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601438F0" w14:textId="77777777" w:rsidR="00E45BF2" w:rsidRPr="00354AF6" w:rsidRDefault="00E45BF2" w:rsidP="004D53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4AF6">
              <w:rPr>
                <w:rFonts w:ascii="Arial" w:hAnsi="Arial" w:cs="Arial"/>
                <w:b/>
                <w:bCs/>
              </w:rPr>
              <w:t>Querverweise</w:t>
            </w:r>
          </w:p>
        </w:tc>
        <w:tc>
          <w:tcPr>
            <w:tcW w:w="6498" w:type="dxa"/>
            <w:gridSpan w:val="2"/>
          </w:tcPr>
          <w:p w14:paraId="02D92C1A" w14:textId="66D69FCB" w:rsidR="00E45BF2" w:rsidRPr="00354AF6" w:rsidRDefault="00B67328" w:rsidP="004D534F">
            <w:pPr>
              <w:spacing w:after="0" w:line="240" w:lineRule="auto"/>
              <w:rPr>
                <w:rFonts w:ascii="Arial" w:hAnsi="Arial" w:cs="Arial"/>
              </w:rPr>
            </w:pPr>
            <w:r w:rsidRPr="00354AF6">
              <w:rPr>
                <w:rFonts w:ascii="Arial" w:hAnsi="Arial" w:cs="Arial"/>
              </w:rPr>
              <w:t xml:space="preserve">VAW 121101, Kap. </w:t>
            </w:r>
            <w:r w:rsidR="00F63513" w:rsidRPr="00354AF6">
              <w:rPr>
                <w:rFonts w:ascii="Arial" w:hAnsi="Arial" w:cs="Arial"/>
              </w:rPr>
              <w:t>3.</w:t>
            </w:r>
            <w:r w:rsidR="006D1127" w:rsidRPr="00354AF6">
              <w:rPr>
                <w:rFonts w:ascii="Arial" w:hAnsi="Arial" w:cs="Arial"/>
              </w:rPr>
              <w:t>4</w:t>
            </w:r>
          </w:p>
        </w:tc>
      </w:tr>
      <w:tr w:rsidR="00724171" w:rsidRPr="00354AF6" w14:paraId="32B594D7" w14:textId="77777777" w:rsidTr="008B3BEC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E1FE3E4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3876700E" w14:textId="77777777" w:rsidR="00724171" w:rsidRPr="00354AF6" w:rsidRDefault="00724171" w:rsidP="004D5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4171" w:rsidRPr="00354AF6" w14:paraId="493063C3" w14:textId="77777777" w:rsidTr="008B3BEC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7B1BC814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4AF6">
              <w:rPr>
                <w:rFonts w:ascii="Arial" w:hAnsi="Arial" w:cs="Arial"/>
                <w:b/>
                <w:bCs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73D7AE82" w14:textId="77777777" w:rsidR="00724171" w:rsidRPr="00354AF6" w:rsidRDefault="00B67328" w:rsidP="004D534F">
            <w:pPr>
              <w:spacing w:after="0" w:line="240" w:lineRule="auto"/>
              <w:rPr>
                <w:rFonts w:ascii="Arial" w:hAnsi="Arial" w:cs="Arial"/>
              </w:rPr>
            </w:pPr>
            <w:r w:rsidRPr="00354AF6">
              <w:rPr>
                <w:rFonts w:ascii="Arial" w:hAnsi="Arial" w:cs="Arial"/>
              </w:rPr>
              <w:t>Alexander Kammerlocher (EFG 01)</w:t>
            </w:r>
          </w:p>
        </w:tc>
        <w:tc>
          <w:tcPr>
            <w:tcW w:w="3007" w:type="dxa"/>
            <w:vAlign w:val="center"/>
          </w:tcPr>
          <w:p w14:paraId="344EAC2F" w14:textId="0DFFCB49" w:rsidR="00724171" w:rsidRPr="00354AF6" w:rsidRDefault="00782135" w:rsidP="004D5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4AF6">
              <w:rPr>
                <w:rFonts w:ascii="Arial" w:hAnsi="Arial" w:cs="Arial"/>
              </w:rPr>
              <w:t>18.01.2023</w:t>
            </w:r>
          </w:p>
        </w:tc>
      </w:tr>
      <w:tr w:rsidR="00724171" w:rsidRPr="00354AF6" w14:paraId="55F18BC2" w14:textId="77777777" w:rsidTr="008B3BEC">
        <w:trPr>
          <w:jc w:val="center"/>
        </w:trPr>
        <w:tc>
          <w:tcPr>
            <w:tcW w:w="2574" w:type="dxa"/>
            <w:vAlign w:val="center"/>
          </w:tcPr>
          <w:p w14:paraId="606FFDC3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4AF6">
              <w:rPr>
                <w:rFonts w:ascii="Arial" w:hAnsi="Arial" w:cs="Arial"/>
                <w:b/>
                <w:bCs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43671E72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</w:rPr>
            </w:pPr>
            <w:r w:rsidRPr="00354AF6">
              <w:rPr>
                <w:rFonts w:ascii="Arial" w:hAnsi="Arial" w:cs="Arial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6607D7E0" w14:textId="268D4D4C" w:rsidR="00724171" w:rsidRPr="00354AF6" w:rsidRDefault="00354AF6" w:rsidP="004D5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4AF6">
              <w:rPr>
                <w:rFonts w:ascii="Arial" w:hAnsi="Arial" w:cs="Arial"/>
              </w:rPr>
              <w:t>06.02.2023</w:t>
            </w:r>
          </w:p>
        </w:tc>
      </w:tr>
      <w:tr w:rsidR="00724171" w:rsidRPr="00354AF6" w14:paraId="5C2401AD" w14:textId="77777777" w:rsidTr="008B3BEC">
        <w:trPr>
          <w:trHeight w:val="17"/>
          <w:jc w:val="center"/>
        </w:trPr>
        <w:tc>
          <w:tcPr>
            <w:tcW w:w="2574" w:type="dxa"/>
            <w:vAlign w:val="center"/>
          </w:tcPr>
          <w:p w14:paraId="2E8B7415" w14:textId="5F8B2AB9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4AF6">
              <w:rPr>
                <w:rFonts w:ascii="Arial" w:hAnsi="Arial" w:cs="Arial"/>
                <w:b/>
                <w:bCs/>
              </w:rPr>
              <w:t>Co</w:t>
            </w:r>
            <w:r w:rsidR="002537E0" w:rsidRPr="00354AF6">
              <w:rPr>
                <w:rFonts w:ascii="Arial" w:hAnsi="Arial" w:cs="Arial"/>
                <w:b/>
                <w:bCs/>
              </w:rPr>
              <w:t>U</w:t>
            </w:r>
            <w:r w:rsidRPr="00354AF6">
              <w:rPr>
                <w:rFonts w:ascii="Arial" w:hAnsi="Arial" w:cs="Arial"/>
                <w:b/>
                <w:bCs/>
              </w:rPr>
              <w:t>P-Vorgabe</w:t>
            </w:r>
          </w:p>
        </w:tc>
        <w:tc>
          <w:tcPr>
            <w:tcW w:w="6498" w:type="dxa"/>
            <w:gridSpan w:val="2"/>
            <w:vAlign w:val="center"/>
          </w:tcPr>
          <w:p w14:paraId="36F124F8" w14:textId="394EE2B5" w:rsidR="00724171" w:rsidRPr="00354AF6" w:rsidRDefault="006A4C01" w:rsidP="004D5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7072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794" w:rsidRPr="00354AF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24171" w:rsidRPr="00354AF6">
              <w:rPr>
                <w:rFonts w:ascii="Arial" w:hAnsi="Arial" w:cs="Arial"/>
              </w:rPr>
              <w:t xml:space="preserve"> Ja</w:t>
            </w:r>
            <w:r w:rsidR="00724171" w:rsidRPr="00354AF6">
              <w:rPr>
                <w:rFonts w:ascii="Arial" w:hAnsi="Arial" w:cs="Arial"/>
              </w:rPr>
              <w:tab/>
            </w:r>
            <w:r w:rsidR="00724171" w:rsidRPr="00354AF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4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794" w:rsidRPr="00354A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4171" w:rsidRPr="00354AF6">
              <w:rPr>
                <w:rFonts w:ascii="Arial" w:hAnsi="Arial" w:cs="Arial"/>
              </w:rPr>
              <w:t xml:space="preserve"> Nein</w:t>
            </w:r>
          </w:p>
        </w:tc>
      </w:tr>
      <w:tr w:rsidR="00724171" w:rsidRPr="00354AF6" w14:paraId="70085F0B" w14:textId="77777777" w:rsidTr="008B3BEC">
        <w:trPr>
          <w:trHeight w:val="20"/>
          <w:jc w:val="center"/>
        </w:trPr>
        <w:tc>
          <w:tcPr>
            <w:tcW w:w="2574" w:type="dxa"/>
            <w:vMerge w:val="restart"/>
          </w:tcPr>
          <w:p w14:paraId="6C6143E7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4AF6">
              <w:rPr>
                <w:rFonts w:ascii="Arial" w:hAnsi="Arial" w:cs="Arial"/>
                <w:b/>
                <w:bCs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A76F0FF" w14:textId="77777777" w:rsidR="00724171" w:rsidRPr="00354AF6" w:rsidRDefault="006A4C01" w:rsidP="004D5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58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 w:rsidRPr="00354A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5BF2" w:rsidRPr="00354AF6">
              <w:rPr>
                <w:rFonts w:ascii="Arial" w:hAnsi="Arial" w:cs="Arial"/>
              </w:rPr>
              <w:t xml:space="preserve"> Ja</w:t>
            </w:r>
            <w:r w:rsidR="00E45BF2" w:rsidRPr="00354AF6">
              <w:rPr>
                <w:rFonts w:ascii="Arial" w:hAnsi="Arial" w:cs="Arial"/>
              </w:rPr>
              <w:tab/>
            </w:r>
            <w:r w:rsidR="00E45BF2" w:rsidRPr="00354AF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7038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F2" w:rsidRPr="00354AF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45BF2" w:rsidRPr="00354AF6">
              <w:rPr>
                <w:rFonts w:ascii="Arial" w:hAnsi="Arial" w:cs="Arial"/>
              </w:rPr>
              <w:t xml:space="preserve"> Nein</w:t>
            </w:r>
          </w:p>
        </w:tc>
      </w:tr>
      <w:tr w:rsidR="00724171" w:rsidRPr="00354AF6" w14:paraId="16E96075" w14:textId="77777777" w:rsidTr="008B3BEC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0C33253B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1280235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4171" w:rsidRPr="00354AF6" w14:paraId="3EBA61EB" w14:textId="77777777" w:rsidTr="008B3BEC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12261AA2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5AD8802F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4171" w:rsidRPr="00354AF6" w14:paraId="4E3930FA" w14:textId="77777777" w:rsidTr="008B3BEC">
        <w:trPr>
          <w:trHeight w:val="385"/>
          <w:jc w:val="center"/>
        </w:trPr>
        <w:tc>
          <w:tcPr>
            <w:tcW w:w="2574" w:type="dxa"/>
            <w:vAlign w:val="center"/>
          </w:tcPr>
          <w:p w14:paraId="0F4B3BDB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4AF6">
              <w:rPr>
                <w:rFonts w:ascii="Arial" w:hAnsi="Arial" w:cs="Arial"/>
                <w:b/>
                <w:bCs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5443FEF9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4F997C0F" w14:textId="1E9B87F8" w:rsidR="00724171" w:rsidRPr="00354AF6" w:rsidRDefault="00354AF6" w:rsidP="004D5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4AF6">
              <w:rPr>
                <w:rFonts w:ascii="Arial" w:hAnsi="Arial" w:cs="Arial"/>
              </w:rPr>
              <w:t>06.02.2023</w:t>
            </w:r>
          </w:p>
        </w:tc>
      </w:tr>
      <w:tr w:rsidR="00724171" w:rsidRPr="00354AF6" w14:paraId="433FDAAE" w14:textId="77777777" w:rsidTr="00C55977">
        <w:trPr>
          <w:trHeight w:val="1372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318C562" w14:textId="77777777" w:rsidR="00724171" w:rsidRPr="00354AF6" w:rsidRDefault="00724171" w:rsidP="004D53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4AF6">
              <w:rPr>
                <w:rFonts w:ascii="Arial" w:hAnsi="Arial" w:cs="Arial"/>
                <w:b/>
                <w:bCs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6858FCEB" w14:textId="77777777" w:rsidR="00724171" w:rsidRPr="00354AF6" w:rsidRDefault="00724171" w:rsidP="004D5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vAlign w:val="center"/>
          </w:tcPr>
          <w:p w14:paraId="38EBA5AE" w14:textId="77777777" w:rsidR="00724171" w:rsidRPr="00354AF6" w:rsidRDefault="00724171" w:rsidP="004D5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3B51038" w14:textId="77777777" w:rsidR="00B7144C" w:rsidRPr="00354AF6" w:rsidRDefault="00B7144C" w:rsidP="004D534F">
      <w:pPr>
        <w:spacing w:line="240" w:lineRule="auto"/>
        <w:sectPr w:rsidR="00B7144C" w:rsidRPr="00354AF6" w:rsidSect="0072417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227" w:gutter="0"/>
          <w:cols w:space="708"/>
          <w:formProt w:val="0"/>
          <w:titlePg/>
          <w:docGrid w:linePitch="360"/>
        </w:sectPr>
      </w:pPr>
    </w:p>
    <w:p w14:paraId="026950BF" w14:textId="5283464B" w:rsidR="00B450B7" w:rsidRPr="00354AF6" w:rsidRDefault="006D1127" w:rsidP="004D534F">
      <w:pPr>
        <w:pStyle w:val="SOPTextneu2021"/>
        <w:ind w:left="0"/>
        <w:rPr>
          <w:b/>
          <w:sz w:val="28"/>
          <w:szCs w:val="28"/>
        </w:rPr>
      </w:pPr>
      <w:r w:rsidRPr="00354AF6">
        <w:rPr>
          <w:b/>
          <w:sz w:val="28"/>
          <w:szCs w:val="28"/>
        </w:rPr>
        <w:lastRenderedPageBreak/>
        <w:t>Risikobasierte Entscheidungsfindung über mögliche Maßnahmen</w:t>
      </w:r>
    </w:p>
    <w:p w14:paraId="739BD9E2" w14:textId="5D90E2CC" w:rsidR="006D1127" w:rsidRPr="00354AF6" w:rsidRDefault="006D1127" w:rsidP="004D534F">
      <w:pPr>
        <w:tabs>
          <w:tab w:val="left" w:pos="1276"/>
        </w:tabs>
        <w:spacing w:line="240" w:lineRule="auto"/>
        <w:rPr>
          <w:rFonts w:ascii="Arial" w:hAnsi="Arial" w:cs="Arial"/>
        </w:rPr>
      </w:pPr>
      <w:r w:rsidRPr="00354AF6">
        <w:rPr>
          <w:rFonts w:ascii="Arial" w:hAnsi="Arial" w:cs="Arial"/>
          <w:b/>
        </w:rPr>
        <w:t>Vor der Festlegung zu ergreifender Maßnahmen</w:t>
      </w:r>
      <w:r w:rsidRPr="00354AF6">
        <w:rPr>
          <w:rFonts w:ascii="Arial" w:hAnsi="Arial" w:cs="Arial"/>
        </w:rPr>
        <w:t xml:space="preserve"> sollten die Auswirkungen derselben bedacht werden. Dazu ist es hilfreich, </w:t>
      </w:r>
      <w:r w:rsidR="003754A9" w:rsidRPr="00354AF6">
        <w:rPr>
          <w:rFonts w:ascii="Arial" w:hAnsi="Arial" w:cs="Arial"/>
        </w:rPr>
        <w:t xml:space="preserve">Überlegungen zu </w:t>
      </w:r>
      <w:r w:rsidRPr="00354AF6">
        <w:rPr>
          <w:rFonts w:ascii="Arial" w:hAnsi="Arial" w:cs="Arial"/>
        </w:rPr>
        <w:t>folgende</w:t>
      </w:r>
      <w:r w:rsidR="00AB5452" w:rsidRPr="00354AF6">
        <w:rPr>
          <w:rFonts w:ascii="Arial" w:hAnsi="Arial" w:cs="Arial"/>
        </w:rPr>
        <w:t>n</w:t>
      </w:r>
      <w:r w:rsidRPr="00354AF6">
        <w:rPr>
          <w:rFonts w:ascii="Arial" w:hAnsi="Arial" w:cs="Arial"/>
        </w:rPr>
        <w:t xml:space="preserve"> </w:t>
      </w:r>
      <w:r w:rsidR="003754A9" w:rsidRPr="00354AF6">
        <w:rPr>
          <w:rFonts w:ascii="Arial" w:hAnsi="Arial" w:cs="Arial"/>
        </w:rPr>
        <w:t>Aspekten anzustellen</w:t>
      </w:r>
      <w:r w:rsidRPr="00354AF6">
        <w:rPr>
          <w:rFonts w:ascii="Arial" w:hAnsi="Arial" w:cs="Arial"/>
        </w:rPr>
        <w:t>:</w:t>
      </w:r>
    </w:p>
    <w:p w14:paraId="3D02AF4C" w14:textId="77777777" w:rsidR="006D1127" w:rsidRPr="00354AF6" w:rsidRDefault="006D1127" w:rsidP="004D534F">
      <w:pPr>
        <w:tabs>
          <w:tab w:val="left" w:pos="1276"/>
        </w:tabs>
        <w:spacing w:before="240" w:after="120" w:line="240" w:lineRule="auto"/>
        <w:rPr>
          <w:rFonts w:ascii="Arial" w:hAnsi="Arial" w:cs="Arial"/>
          <w:b/>
          <w:u w:val="single"/>
        </w:rPr>
      </w:pPr>
      <w:r w:rsidRPr="00354AF6">
        <w:rPr>
          <w:rFonts w:ascii="Arial" w:hAnsi="Arial" w:cs="Arial"/>
          <w:b/>
          <w:u w:val="single"/>
        </w:rPr>
        <w:t>Art des Risikos und des Arzneimittels:</w:t>
      </w:r>
    </w:p>
    <w:p w14:paraId="2B0BBFF7" w14:textId="6A5A97ED" w:rsidR="006D1127" w:rsidRPr="00354AF6" w:rsidRDefault="006D1127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 xml:space="preserve">Welche Klassifizierung wurde dem QD zugewiesen? (Hinweis auf Schwere des Risikos) </w:t>
      </w:r>
    </w:p>
    <w:p w14:paraId="7CD039E6" w14:textId="48A00F29" w:rsidR="006D1127" w:rsidRPr="00354AF6" w:rsidRDefault="006D1127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>Ist es wahrscheinlich, dass sich der QD während der verbleibenden Haltbarkeitsdauer der Charge verstärkt und so u. U. auch das Risiko auf die Gesundheit von Mensch und Tier erhöht? (Hinweis</w:t>
      </w:r>
      <w:r w:rsidR="00AB5452" w:rsidRPr="00354AF6">
        <w:t>e</w:t>
      </w:r>
      <w:r w:rsidRPr="00354AF6">
        <w:t xml:space="preserve"> auf stabilitätsbezogene Qualitätsmängel</w:t>
      </w:r>
      <w:r w:rsidR="00AB5452" w:rsidRPr="00354AF6">
        <w:t xml:space="preserve"> können</w:t>
      </w:r>
      <w:r w:rsidR="00B33308" w:rsidRPr="00354AF6">
        <w:t xml:space="preserve"> diesbezüglich</w:t>
      </w:r>
      <w:r w:rsidRPr="00354AF6">
        <w:t xml:space="preserve"> relevant sein) </w:t>
      </w:r>
    </w:p>
    <w:p w14:paraId="5B4A1E38" w14:textId="77777777" w:rsidR="006D1127" w:rsidRPr="00354AF6" w:rsidRDefault="006D1127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>Wenn eine klinische Studie involviert ist: Ist das Risiko, das von dem Problem ausgeht, ausreichend, um einen Abbruch der Studie zu rechtfertigen?</w:t>
      </w:r>
    </w:p>
    <w:p w14:paraId="45763950" w14:textId="77777777" w:rsidR="006D1127" w:rsidRPr="00354AF6" w:rsidRDefault="006D1127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>Über welche Wege wird das Produkt verkauft (Lieferketten)?</w:t>
      </w:r>
    </w:p>
    <w:p w14:paraId="63818C46" w14:textId="77777777" w:rsidR="006D1127" w:rsidRPr="00354AF6" w:rsidRDefault="006D1127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>Wie lange ist die Restlaufzeit der betroffenen Charge?</w:t>
      </w:r>
    </w:p>
    <w:p w14:paraId="268E01B3" w14:textId="77777777" w:rsidR="006D1127" w:rsidRPr="00354AF6" w:rsidRDefault="006D1127" w:rsidP="004D534F">
      <w:pPr>
        <w:tabs>
          <w:tab w:val="left" w:pos="1276"/>
        </w:tabs>
        <w:spacing w:before="240" w:after="120" w:line="240" w:lineRule="auto"/>
        <w:rPr>
          <w:rFonts w:ascii="Arial" w:hAnsi="Arial" w:cs="Arial"/>
        </w:rPr>
      </w:pPr>
      <w:r w:rsidRPr="00354AF6">
        <w:rPr>
          <w:rFonts w:ascii="Arial" w:hAnsi="Arial" w:cs="Arial"/>
          <w:b/>
          <w:u w:val="single"/>
        </w:rPr>
        <w:t>Umfang der behördlichen Maßnahmen:</w:t>
      </w:r>
    </w:p>
    <w:p w14:paraId="30E40047" w14:textId="7AD6445A" w:rsidR="006D1127" w:rsidRPr="00354AF6" w:rsidRDefault="006D1127" w:rsidP="00AB5452">
      <w:pPr>
        <w:pStyle w:val="SOPTextneu2021"/>
        <w:numPr>
          <w:ilvl w:val="0"/>
          <w:numId w:val="13"/>
        </w:numPr>
        <w:ind w:left="284" w:hanging="284"/>
      </w:pPr>
      <w:r w:rsidRPr="00354AF6">
        <w:t xml:space="preserve">Bis zu welcher Stufe der Vertriebskette sollte beispielsweise ein Rückruf angeordnet werden? (bis </w:t>
      </w:r>
      <w:r w:rsidR="006A4C01">
        <w:t>zur Patientin/</w:t>
      </w:r>
      <w:r w:rsidRPr="00354AF6">
        <w:t>zum Patienten/Anwende</w:t>
      </w:r>
      <w:r w:rsidR="006A4C01">
        <w:t>nden</w:t>
      </w:r>
      <w:r w:rsidRPr="00354AF6">
        <w:t xml:space="preserve">, nur an Apotheken/Krankenhäuser, nur an </w:t>
      </w:r>
      <w:r w:rsidR="00354AF6">
        <w:t>Tierärztinnen/</w:t>
      </w:r>
      <w:r w:rsidRPr="00354AF6">
        <w:t>Tierärzte, nur an Großhändler usw.)</w:t>
      </w:r>
    </w:p>
    <w:p w14:paraId="35EB6BE0" w14:textId="310EC920" w:rsidR="006D1127" w:rsidRPr="00354AF6" w:rsidRDefault="006D1127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>Wann wurde die fehlerhafte(n) Charge(n) erstmals ausgeliefert? Wie viele Packungen sind noch auf dem Markt? Wie lange wird es voraussichtlich dauern, bis alle verbleibenden Einheiten aufgebraucht sind?</w:t>
      </w:r>
    </w:p>
    <w:p w14:paraId="759C7B1B" w14:textId="6869A2E4" w:rsidR="00AB5452" w:rsidRPr="00354AF6" w:rsidRDefault="00AB5452" w:rsidP="00AB5452">
      <w:pPr>
        <w:pStyle w:val="SOPTextneu2021"/>
        <w:numPr>
          <w:ilvl w:val="0"/>
          <w:numId w:val="13"/>
        </w:numPr>
        <w:ind w:left="284" w:hanging="284"/>
      </w:pPr>
      <w:r w:rsidRPr="00354AF6">
        <w:t>Welche Erkenntnisse würde eine amtliche Probenuntersuchung bringen?</w:t>
      </w:r>
    </w:p>
    <w:p w14:paraId="2396402D" w14:textId="3A74378C" w:rsidR="006D1127" w:rsidRPr="00354AF6" w:rsidRDefault="006D1127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 xml:space="preserve">Sollte ein OMCL beteiligt werden vor Maßnahmen, die die Marktverfügbar der betreffenden Produkte betreffen?  </w:t>
      </w:r>
      <w:bookmarkStart w:id="0" w:name="_GoBack"/>
      <w:bookmarkEnd w:id="0"/>
    </w:p>
    <w:p w14:paraId="5628C2FB" w14:textId="1397F7F0" w:rsidR="006D1127" w:rsidRPr="00354AF6" w:rsidRDefault="006D1127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 xml:space="preserve">Sollte der Hersteller aufgefordert werden, die Freigabe neuer Chargen des Produkts einzustellen, bis sichergestellt ist, dass </w:t>
      </w:r>
      <w:r w:rsidR="00C848C2" w:rsidRPr="00354AF6">
        <w:t xml:space="preserve">die </w:t>
      </w:r>
      <w:r w:rsidRPr="00354AF6">
        <w:t>Ursache für den QD behoben wurde?</w:t>
      </w:r>
    </w:p>
    <w:p w14:paraId="1547F900" w14:textId="5349D160" w:rsidR="00F36378" w:rsidRPr="00354AF6" w:rsidRDefault="00F36378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 xml:space="preserve">Sollte der </w:t>
      </w:r>
      <w:r w:rsidR="006D1127" w:rsidRPr="00354AF6">
        <w:t xml:space="preserve">Hersteller oder </w:t>
      </w:r>
      <w:r w:rsidRPr="00354AF6">
        <w:t xml:space="preserve">der </w:t>
      </w:r>
      <w:r w:rsidR="006D1127" w:rsidRPr="00354AF6">
        <w:t>Großhändler auf</w:t>
      </w:r>
      <w:r w:rsidRPr="00354AF6">
        <w:t>ge</w:t>
      </w:r>
      <w:r w:rsidR="006D1127" w:rsidRPr="00354AF6">
        <w:t>forder</w:t>
      </w:r>
      <w:r w:rsidRPr="00354AF6">
        <w:t>t werden</w:t>
      </w:r>
      <w:r w:rsidR="006D1127" w:rsidRPr="00354AF6">
        <w:t>, unter seiner Kontrolle befindliche Packungen zu überprüfen</w:t>
      </w:r>
      <w:r w:rsidRPr="00354AF6">
        <w:t>,</w:t>
      </w:r>
      <w:r w:rsidR="006D1127" w:rsidRPr="00354AF6">
        <w:t xml:space="preserve"> und </w:t>
      </w:r>
      <w:r w:rsidRPr="00354AF6">
        <w:t>darf</w:t>
      </w:r>
      <w:r w:rsidR="002537E0" w:rsidRPr="00354AF6">
        <w:t xml:space="preserve"> er</w:t>
      </w:r>
      <w:r w:rsidRPr="00354AF6">
        <w:t xml:space="preserve"> </w:t>
      </w:r>
      <w:r w:rsidR="006D1127" w:rsidRPr="00354AF6">
        <w:t xml:space="preserve">fehlerfreie Ware weiterhin vermarkten? </w:t>
      </w:r>
    </w:p>
    <w:p w14:paraId="51834668" w14:textId="3B21026F" w:rsidR="00F36378" w:rsidRPr="00354AF6" w:rsidRDefault="004D534F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 xml:space="preserve">Sollte die fragliche Ware beim Hersteller/Händler sichergestellt/beschlagnahmt werden? </w:t>
      </w:r>
    </w:p>
    <w:p w14:paraId="4F156662" w14:textId="18C89438" w:rsidR="006E7707" w:rsidRPr="00354AF6" w:rsidRDefault="004D534F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 xml:space="preserve">Sollten </w:t>
      </w:r>
      <w:r w:rsidR="006E7707" w:rsidRPr="00354AF6">
        <w:t>Großh</w:t>
      </w:r>
      <w:r w:rsidRPr="00354AF6">
        <w:t>andel</w:t>
      </w:r>
      <w:r w:rsidR="006E7707" w:rsidRPr="00354AF6">
        <w:t xml:space="preserve">, Öffentlichkeit, Fachpresse </w:t>
      </w:r>
      <w:r w:rsidRPr="00354AF6">
        <w:t>etc. info</w:t>
      </w:r>
      <w:r w:rsidR="00C848C2" w:rsidRPr="00354AF6">
        <w:t>r</w:t>
      </w:r>
      <w:r w:rsidRPr="00354AF6">
        <w:t>miert werden?</w:t>
      </w:r>
      <w:r w:rsidR="006E7707" w:rsidRPr="00354AF6">
        <w:t xml:space="preserve"> </w:t>
      </w:r>
    </w:p>
    <w:p w14:paraId="38124B4E" w14:textId="77777777" w:rsidR="006D1127" w:rsidRPr="00354AF6" w:rsidRDefault="006D1127" w:rsidP="004D534F">
      <w:pPr>
        <w:tabs>
          <w:tab w:val="left" w:pos="1276"/>
        </w:tabs>
        <w:spacing w:before="240" w:after="120" w:line="240" w:lineRule="auto"/>
        <w:rPr>
          <w:rFonts w:ascii="Arial" w:hAnsi="Arial" w:cs="Arial"/>
        </w:rPr>
      </w:pPr>
      <w:r w:rsidRPr="00354AF6">
        <w:rPr>
          <w:rFonts w:ascii="Arial" w:hAnsi="Arial" w:cs="Arial"/>
          <w:b/>
          <w:u w:val="single"/>
        </w:rPr>
        <w:t>Mögliche Lieferengpässe:</w:t>
      </w:r>
    </w:p>
    <w:p w14:paraId="30DFC847" w14:textId="5BA8BE77" w:rsidR="006D1127" w:rsidRPr="00354AF6" w:rsidRDefault="006D1127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 xml:space="preserve">Ist das Risiko so schwerwiegend, dass eine Rückrufaktion gerechtfertigt ist, auch wenn dadurch die Versorgung der </w:t>
      </w:r>
      <w:r w:rsidR="00354AF6">
        <w:t>Patientinnen/</w:t>
      </w:r>
      <w:r w:rsidRPr="00354AF6">
        <w:t>Patienten gefährdet ist?</w:t>
      </w:r>
    </w:p>
    <w:p w14:paraId="14131693" w14:textId="4440565F" w:rsidR="006D1127" w:rsidRPr="00354AF6" w:rsidRDefault="006D1127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 xml:space="preserve">Stehen alternative Arzneimittel zur Verfügung, falls es durch die Maßnahmen zu Lieferengpässen kommt? Können die </w:t>
      </w:r>
      <w:r w:rsidR="00354AF6">
        <w:t>Patientinnen/</w:t>
      </w:r>
      <w:r w:rsidRPr="00354AF6">
        <w:t>Patienten auf alternative Produkte umgestellt werden? (Bei der Prüfung dieser Frage sollte klinisches Fachwissen eingeholt werden</w:t>
      </w:r>
      <w:r w:rsidR="00C848C2" w:rsidRPr="00354AF6">
        <w:t>.</w:t>
      </w:r>
      <w:r w:rsidRPr="00354AF6">
        <w:t>)</w:t>
      </w:r>
    </w:p>
    <w:p w14:paraId="3B55C385" w14:textId="09884C4A" w:rsidR="006D1127" w:rsidRPr="00354AF6" w:rsidRDefault="006D1127" w:rsidP="004D534F">
      <w:pPr>
        <w:pStyle w:val="SOPTextneu2021"/>
        <w:numPr>
          <w:ilvl w:val="0"/>
          <w:numId w:val="13"/>
        </w:numPr>
        <w:ind w:left="284" w:hanging="284"/>
      </w:pPr>
      <w:r w:rsidRPr="00354AF6">
        <w:t xml:space="preserve">Wären die Risiken für </w:t>
      </w:r>
      <w:r w:rsidR="00354AF6">
        <w:t>Patientinnen/</w:t>
      </w:r>
      <w:r w:rsidR="00354AF6" w:rsidRPr="00077A70">
        <w:t>Patienten</w:t>
      </w:r>
      <w:r w:rsidR="00354AF6">
        <w:t xml:space="preserve"> oder </w:t>
      </w:r>
      <w:r w:rsidR="00354AF6" w:rsidRPr="00077A70">
        <w:t>Tiere</w:t>
      </w:r>
      <w:r w:rsidRPr="00354AF6">
        <w:t xml:space="preserve"> höher, wenn das Produkt nicht verfügbar wäre im Vergleich zu fehlerhaften Produkten, die nicht zurückgerufen werden?</w:t>
      </w:r>
    </w:p>
    <w:p w14:paraId="358E8F02" w14:textId="77777777" w:rsidR="006D1127" w:rsidRPr="00354AF6" w:rsidRDefault="006D1127" w:rsidP="004D534F">
      <w:pPr>
        <w:tabs>
          <w:tab w:val="left" w:pos="1276"/>
        </w:tabs>
        <w:spacing w:before="240" w:after="120" w:line="240" w:lineRule="auto"/>
        <w:rPr>
          <w:rFonts w:ascii="Arial" w:hAnsi="Arial" w:cs="Arial"/>
        </w:rPr>
      </w:pPr>
      <w:r w:rsidRPr="00354AF6">
        <w:rPr>
          <w:rFonts w:ascii="Arial" w:hAnsi="Arial" w:cs="Arial"/>
          <w:b/>
          <w:u w:val="single"/>
        </w:rPr>
        <w:t>Kommunikation mit Einrichtungen des Gesundheitswesens und/oder Patienten:</w:t>
      </w:r>
    </w:p>
    <w:p w14:paraId="21D8985C" w14:textId="1EE2708A" w:rsidR="006D1127" w:rsidRPr="00354AF6" w:rsidRDefault="006D1127" w:rsidP="004D534F">
      <w:pPr>
        <w:pStyle w:val="SOPTextneu2021"/>
        <w:numPr>
          <w:ilvl w:val="0"/>
          <w:numId w:val="13"/>
        </w:numPr>
        <w:tabs>
          <w:tab w:val="left" w:pos="1276"/>
        </w:tabs>
        <w:ind w:left="284" w:hanging="284"/>
      </w:pPr>
      <w:r w:rsidRPr="00354AF6">
        <w:t>W</w:t>
      </w:r>
      <w:r w:rsidR="00782135" w:rsidRPr="00354AF6">
        <w:t>ie leicht erkennbar ist der QD?</w:t>
      </w:r>
      <w:r w:rsidRPr="00354AF6">
        <w:t xml:space="preserve"> (</w:t>
      </w:r>
      <w:r w:rsidR="00506D54" w:rsidRPr="00354AF6">
        <w:t>Es ist</w:t>
      </w:r>
      <w:r w:rsidR="002537E0" w:rsidRPr="00354AF6">
        <w:t xml:space="preserve"> zu</w:t>
      </w:r>
      <w:r w:rsidR="00506D54" w:rsidRPr="00354AF6">
        <w:t xml:space="preserve"> bedenken, dass </w:t>
      </w:r>
      <w:r w:rsidR="002537E0" w:rsidRPr="00354AF6">
        <w:t>Patientinnen</w:t>
      </w:r>
      <w:r w:rsidR="00506D54" w:rsidRPr="00354AF6">
        <w:t>/Patienten das Arzneimittel häufig auch dann noch anwenden, wenn der QD offensichtlich ist.</w:t>
      </w:r>
      <w:r w:rsidRPr="00354AF6">
        <w:t>)</w:t>
      </w:r>
    </w:p>
    <w:p w14:paraId="3CAAEAC2" w14:textId="60F8A870" w:rsidR="00B7435D" w:rsidRPr="00354AF6" w:rsidRDefault="006D1127" w:rsidP="004D534F">
      <w:pPr>
        <w:pStyle w:val="SOPTextneu2021"/>
        <w:numPr>
          <w:ilvl w:val="0"/>
          <w:numId w:val="13"/>
        </w:numPr>
        <w:tabs>
          <w:tab w:val="left" w:pos="1276"/>
        </w:tabs>
        <w:ind w:left="284" w:hanging="284"/>
      </w:pPr>
      <w:r w:rsidRPr="00354AF6">
        <w:t xml:space="preserve">Könnten die Risiken für </w:t>
      </w:r>
      <w:r w:rsidR="00354AF6">
        <w:t>Patientinnen/</w:t>
      </w:r>
      <w:r w:rsidR="00354AF6" w:rsidRPr="00077A70">
        <w:t>Patienten</w:t>
      </w:r>
      <w:r w:rsidR="00354AF6">
        <w:t xml:space="preserve"> oder </w:t>
      </w:r>
      <w:r w:rsidR="00354AF6" w:rsidRPr="00077A70">
        <w:t>Tiere</w:t>
      </w:r>
      <w:r w:rsidR="00354AF6" w:rsidRPr="00354AF6">
        <w:t xml:space="preserve"> </w:t>
      </w:r>
      <w:r w:rsidRPr="00354AF6">
        <w:t>durch „Rote Hand Briefe“ adäquat gehandhabt werden?</w:t>
      </w:r>
    </w:p>
    <w:sectPr w:rsidR="00B7435D" w:rsidRPr="00354AF6" w:rsidSect="00D04760">
      <w:pgSz w:w="11906" w:h="16838" w:code="9"/>
      <w:pgMar w:top="1418" w:right="1304" w:bottom="1134" w:left="1304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B9F2B" w14:textId="77777777" w:rsidR="00B0770A" w:rsidRDefault="00B0770A" w:rsidP="00E17E26">
      <w:pPr>
        <w:spacing w:after="0" w:line="240" w:lineRule="auto"/>
      </w:pPr>
      <w:r>
        <w:separator/>
      </w:r>
    </w:p>
  </w:endnote>
  <w:endnote w:type="continuationSeparator" w:id="0">
    <w:p w14:paraId="603ACDAC" w14:textId="77777777" w:rsidR="00B0770A" w:rsidRDefault="00B0770A" w:rsidP="00E1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4531"/>
    </w:tblGrid>
    <w:tr w:rsidR="00D04760" w:rsidRPr="00D04760" w14:paraId="7EFDD604" w14:textId="77777777" w:rsidTr="00D04760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4FC0E722" w14:textId="40060B4D" w:rsidR="00354AF6" w:rsidRPr="00D04760" w:rsidRDefault="00D04760" w:rsidP="00354AF6">
          <w:pPr>
            <w:pStyle w:val="Fuzeile"/>
            <w:rPr>
              <w:rFonts w:ascii="Arial" w:hAnsi="Arial" w:cs="Arial"/>
            </w:rPr>
          </w:pPr>
          <w:r w:rsidRPr="00D04760">
            <w:rPr>
              <w:rFonts w:ascii="Arial" w:hAnsi="Arial" w:cs="Arial"/>
            </w:rPr>
            <w:t>Quelle: 121101_F0</w:t>
          </w:r>
          <w:r w:rsidR="006D1127">
            <w:rPr>
              <w:rFonts w:ascii="Arial" w:hAnsi="Arial" w:cs="Arial"/>
            </w:rPr>
            <w:t>7</w:t>
          </w:r>
          <w:r w:rsidRPr="00D04760">
            <w:rPr>
              <w:rFonts w:ascii="Arial" w:hAnsi="Arial" w:cs="Arial"/>
            </w:rPr>
            <w:t>_</w:t>
          </w:r>
          <w:r w:rsidR="00354AF6">
            <w:rPr>
              <w:rFonts w:ascii="Arial" w:hAnsi="Arial" w:cs="Arial"/>
            </w:rPr>
            <w:t>01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66FEDAD" w14:textId="43694E1C" w:rsidR="00D04760" w:rsidRPr="00D04760" w:rsidRDefault="00D04760" w:rsidP="00433B79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6A4C01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/</w:t>
          </w:r>
          <w:r w:rsidR="00433B79">
            <w:rPr>
              <w:rFonts w:ascii="Arial" w:hAnsi="Arial" w:cs="Arial"/>
            </w:rPr>
            <w:fldChar w:fldCharType="begin"/>
          </w:r>
          <w:r w:rsidR="00433B79">
            <w:rPr>
              <w:rFonts w:ascii="Arial" w:hAnsi="Arial" w:cs="Arial"/>
            </w:rPr>
            <w:instrText xml:space="preserve"> SECTIONPAGES   \* MERGEFORMAT </w:instrText>
          </w:r>
          <w:r w:rsidR="00433B79">
            <w:rPr>
              <w:rFonts w:ascii="Arial" w:hAnsi="Arial" w:cs="Arial"/>
            </w:rPr>
            <w:fldChar w:fldCharType="separate"/>
          </w:r>
          <w:r w:rsidR="006A4C01">
            <w:rPr>
              <w:rFonts w:ascii="Arial" w:hAnsi="Arial" w:cs="Arial"/>
              <w:noProof/>
            </w:rPr>
            <w:t>1</w:t>
          </w:r>
          <w:r w:rsidR="00433B79">
            <w:rPr>
              <w:rFonts w:ascii="Arial" w:hAnsi="Arial" w:cs="Arial"/>
            </w:rPr>
            <w:fldChar w:fldCharType="end"/>
          </w:r>
        </w:p>
      </w:tc>
    </w:tr>
  </w:tbl>
  <w:p w14:paraId="495319B5" w14:textId="77777777" w:rsidR="00D04760" w:rsidRDefault="00D047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24171" w14:paraId="430E65F2" w14:textId="77777777" w:rsidTr="00724171">
      <w:trPr>
        <w:jc w:val="center"/>
      </w:trPr>
      <w:tc>
        <w:tcPr>
          <w:tcW w:w="9212" w:type="dxa"/>
        </w:tcPr>
        <w:p w14:paraId="276AB0D3" w14:textId="0FD85273" w:rsidR="00724171" w:rsidRPr="00354AF6" w:rsidRDefault="00E45BF2" w:rsidP="00354AF6">
          <w:pPr>
            <w:pStyle w:val="Fuzeile"/>
            <w:jc w:val="center"/>
            <w:rPr>
              <w:rFonts w:ascii="Arial" w:hAnsi="Arial" w:cs="Arial"/>
            </w:rPr>
          </w:pPr>
          <w:r w:rsidRPr="00354AF6">
            <w:rPr>
              <w:rFonts w:ascii="Arial" w:hAnsi="Arial" w:cs="Arial"/>
            </w:rPr>
            <w:t>öffentlich</w:t>
          </w:r>
        </w:p>
      </w:tc>
    </w:tr>
  </w:tbl>
  <w:p w14:paraId="1A69BFD8" w14:textId="77777777" w:rsidR="00724171" w:rsidRDefault="007241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B93F" w14:textId="77777777" w:rsidR="00B0770A" w:rsidRDefault="00B0770A" w:rsidP="00E17E26">
      <w:pPr>
        <w:spacing w:after="0" w:line="240" w:lineRule="auto"/>
      </w:pPr>
      <w:r>
        <w:separator/>
      </w:r>
    </w:p>
  </w:footnote>
  <w:footnote w:type="continuationSeparator" w:id="0">
    <w:p w14:paraId="443D1887" w14:textId="77777777" w:rsidR="00B0770A" w:rsidRDefault="00B0770A" w:rsidP="00E1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B2EC" w14:textId="77777777" w:rsidR="00E45BF2" w:rsidRDefault="00E45BF2" w:rsidP="00E45BF2">
    <w:pPr>
      <w:pStyle w:val="Kopfzeile"/>
      <w:tabs>
        <w:tab w:val="clear" w:pos="4536"/>
        <w:tab w:val="clear" w:pos="9072"/>
        <w:tab w:val="left" w:pos="21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7"/>
      <w:gridCol w:w="4928"/>
      <w:gridCol w:w="1567"/>
    </w:tblGrid>
    <w:tr w:rsidR="00104F38" w:rsidRPr="00F3450F" w14:paraId="21615831" w14:textId="77777777" w:rsidTr="003D19AE">
      <w:trPr>
        <w:cantSplit/>
        <w:trHeight w:val="471"/>
        <w:jc w:val="center"/>
      </w:trPr>
      <w:tc>
        <w:tcPr>
          <w:tcW w:w="2587" w:type="dxa"/>
          <w:vAlign w:val="center"/>
        </w:tcPr>
        <w:p w14:paraId="453A9C3E" w14:textId="77777777" w:rsidR="00B7144C" w:rsidRPr="00F3450F" w:rsidRDefault="00B7144C" w:rsidP="003D19AE">
          <w:pPr>
            <w:tabs>
              <w:tab w:val="right" w:pos="9072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 w:rsidRPr="00F3450F">
            <w:rPr>
              <w:rFonts w:ascii="Arial" w:hAnsi="Arial" w:cs="Arial"/>
              <w:b/>
              <w:bCs/>
              <w:noProof/>
              <w:szCs w:val="24"/>
              <w:lang w:eastAsia="de-DE"/>
            </w:rPr>
            <w:t>Formular</w:t>
          </w:r>
        </w:p>
        <w:p w14:paraId="7488D5FB" w14:textId="19B9AA11" w:rsidR="00B7144C" w:rsidRPr="00F3450F" w:rsidRDefault="00B67328" w:rsidP="00354A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80"/>
              <w:sz w:val="20"/>
              <w:szCs w:val="24"/>
              <w:lang w:eastAsia="de-DE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121101_F</w:t>
          </w:r>
          <w:r w:rsidR="00F63513"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0</w:t>
          </w:r>
          <w:r w:rsidR="006F4BA4"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7</w:t>
          </w:r>
          <w:r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_</w:t>
          </w:r>
          <w:r w:rsidR="00354AF6">
            <w:rPr>
              <w:rFonts w:ascii="Arial" w:hAnsi="Arial" w:cs="Arial"/>
              <w:b/>
              <w:bCs/>
              <w:noProof/>
              <w:sz w:val="28"/>
              <w:szCs w:val="24"/>
              <w:lang w:eastAsia="de-DE"/>
            </w:rPr>
            <w:t>01</w:t>
          </w:r>
        </w:p>
      </w:tc>
      <w:tc>
        <w:tcPr>
          <w:tcW w:w="5043" w:type="dxa"/>
          <w:vAlign w:val="center"/>
        </w:tcPr>
        <w:p w14:paraId="6C18D4C4" w14:textId="54A01494" w:rsidR="00B7144C" w:rsidRPr="00F3450F" w:rsidRDefault="006F4BA4" w:rsidP="00B67328">
          <w:pPr>
            <w:keepNext/>
            <w:spacing w:after="0" w:line="240" w:lineRule="auto"/>
            <w:outlineLvl w:val="0"/>
            <w:rPr>
              <w:rFonts w:ascii="Arial" w:hAnsi="Arial" w:cs="Arial"/>
              <w:b/>
              <w:bCs/>
              <w:color w:val="000000"/>
              <w:lang w:eastAsia="de-DE"/>
            </w:rPr>
          </w:pPr>
          <w:r w:rsidRPr="006F4BA4">
            <w:rPr>
              <w:rFonts w:ascii="Arial" w:hAnsi="Arial" w:cs="Arial"/>
              <w:b/>
              <w:bCs/>
              <w:color w:val="000000"/>
              <w:lang w:eastAsia="de-DE"/>
            </w:rPr>
            <w:t>Risikobasierte Entscheidungsfindung über mögliche Maßnahmen</w:t>
          </w:r>
        </w:p>
      </w:tc>
      <w:tc>
        <w:tcPr>
          <w:tcW w:w="1582" w:type="dxa"/>
          <w:vAlign w:val="center"/>
        </w:tcPr>
        <w:p w14:paraId="0FA7547F" w14:textId="77777777" w:rsidR="00B7144C" w:rsidRPr="00F3450F" w:rsidRDefault="00B7144C" w:rsidP="003D19AE">
          <w:pPr>
            <w:tabs>
              <w:tab w:val="center" w:pos="4536"/>
              <w:tab w:val="right" w:pos="9072"/>
            </w:tabs>
            <w:spacing w:after="0" w:line="240" w:lineRule="auto"/>
            <w:ind w:left="12"/>
            <w:jc w:val="right"/>
            <w:rPr>
              <w:rFonts w:ascii="Arial" w:hAnsi="Arial" w:cs="Arial"/>
              <w:b/>
              <w:bCs/>
              <w:sz w:val="18"/>
              <w:szCs w:val="24"/>
              <w:lang w:eastAsia="de-DE"/>
            </w:rPr>
          </w:pPr>
        </w:p>
      </w:tc>
    </w:tr>
    <w:tr w:rsidR="00B7144C" w:rsidRPr="00F3450F" w14:paraId="798559E7" w14:textId="77777777" w:rsidTr="003D19AE">
      <w:trPr>
        <w:cantSplit/>
        <w:trHeight w:val="22"/>
        <w:jc w:val="center"/>
      </w:trPr>
      <w:tc>
        <w:tcPr>
          <w:tcW w:w="7630" w:type="dxa"/>
          <w:gridSpan w:val="2"/>
          <w:vAlign w:val="center"/>
        </w:tcPr>
        <w:p w14:paraId="2E81114A" w14:textId="77777777" w:rsidR="00B7144C" w:rsidRPr="00F3450F" w:rsidRDefault="00B7144C" w:rsidP="003D19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80"/>
              <w:sz w:val="20"/>
              <w:szCs w:val="24"/>
              <w:lang w:eastAsia="de-DE"/>
            </w:rPr>
          </w:pPr>
          <w:r w:rsidRPr="00F3450F">
            <w:rPr>
              <w:rFonts w:ascii="Arial" w:hAnsi="Arial" w:cs="Arial"/>
              <w:color w:val="000080"/>
              <w:sz w:val="20"/>
              <w:szCs w:val="24"/>
              <w:lang w:eastAsia="de-DE"/>
            </w:rPr>
            <w:t>Zentralstelle der Länder für Gesundheitsschutz</w:t>
          </w:r>
        </w:p>
        <w:p w14:paraId="28811448" w14:textId="77777777" w:rsidR="00B7144C" w:rsidRPr="00F3450F" w:rsidRDefault="00B7144C" w:rsidP="003D19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 w:rsidRPr="00F3450F">
            <w:rPr>
              <w:rFonts w:ascii="Arial" w:hAnsi="Arial" w:cs="Arial"/>
              <w:color w:val="000080"/>
              <w:sz w:val="20"/>
              <w:szCs w:val="24"/>
              <w:lang w:eastAsia="de-DE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7AF3E42C" w14:textId="77777777" w:rsidR="00B7144C" w:rsidRPr="00F3450F" w:rsidRDefault="00405CBA" w:rsidP="003D19A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 wp14:anchorId="3BCD00D3" wp14:editId="42A56F33">
                <wp:extent cx="560070" cy="21082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01" t="25235" r="18921" b="37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D6DEBE" w14:textId="77777777" w:rsidR="00B7144C" w:rsidRDefault="00B7144C" w:rsidP="00B714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366"/>
    <w:multiLevelType w:val="hybridMultilevel"/>
    <w:tmpl w:val="2692FEDA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C3D98"/>
    <w:multiLevelType w:val="singleLevel"/>
    <w:tmpl w:val="9B628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</w:abstractNum>
  <w:abstractNum w:abstractNumId="2" w15:restartNumberingAfterBreak="0">
    <w:nsid w:val="0CE55018"/>
    <w:multiLevelType w:val="hybridMultilevel"/>
    <w:tmpl w:val="EB70D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69C"/>
    <w:multiLevelType w:val="hybridMultilevel"/>
    <w:tmpl w:val="83F27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399"/>
    <w:multiLevelType w:val="hybridMultilevel"/>
    <w:tmpl w:val="14C0570C"/>
    <w:lvl w:ilvl="0" w:tplc="255490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5215"/>
    <w:multiLevelType w:val="hybridMultilevel"/>
    <w:tmpl w:val="48DA5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5C70"/>
    <w:multiLevelType w:val="hybridMultilevel"/>
    <w:tmpl w:val="0E2C1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5AF8"/>
    <w:multiLevelType w:val="hybridMultilevel"/>
    <w:tmpl w:val="83AE1D1A"/>
    <w:lvl w:ilvl="0" w:tplc="F86024A0">
      <w:start w:val="1"/>
      <w:numFmt w:val="decimal"/>
      <w:pStyle w:val="SOPSOP-Text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C15A9"/>
    <w:multiLevelType w:val="hybridMultilevel"/>
    <w:tmpl w:val="D1A67674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D82398D"/>
    <w:multiLevelType w:val="hybridMultilevel"/>
    <w:tmpl w:val="355C55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B3F03"/>
    <w:multiLevelType w:val="hybridMultilevel"/>
    <w:tmpl w:val="AF968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349CD"/>
    <w:multiLevelType w:val="hybridMultilevel"/>
    <w:tmpl w:val="0D4A4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activeWritingStyle w:appName="MSWord" w:lang="de-DE" w:vendorID="64" w:dllVersion="131078" w:nlCheck="1" w:checkStyle="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12"/>
    <w:rsid w:val="000027CC"/>
    <w:rsid w:val="00060162"/>
    <w:rsid w:val="00090365"/>
    <w:rsid w:val="000A77F3"/>
    <w:rsid w:val="000F3353"/>
    <w:rsid w:val="00104F38"/>
    <w:rsid w:val="00110901"/>
    <w:rsid w:val="00122114"/>
    <w:rsid w:val="0019676E"/>
    <w:rsid w:val="001A2448"/>
    <w:rsid w:val="001D2A8C"/>
    <w:rsid w:val="002218A3"/>
    <w:rsid w:val="00231ACA"/>
    <w:rsid w:val="002537E0"/>
    <w:rsid w:val="002554E2"/>
    <w:rsid w:val="002B49B2"/>
    <w:rsid w:val="003079B8"/>
    <w:rsid w:val="0034125A"/>
    <w:rsid w:val="00354AF6"/>
    <w:rsid w:val="00357BE9"/>
    <w:rsid w:val="003623AB"/>
    <w:rsid w:val="00367CA3"/>
    <w:rsid w:val="00370A1F"/>
    <w:rsid w:val="003754A9"/>
    <w:rsid w:val="003D19AE"/>
    <w:rsid w:val="003D1B34"/>
    <w:rsid w:val="003E3737"/>
    <w:rsid w:val="00401C41"/>
    <w:rsid w:val="00402704"/>
    <w:rsid w:val="00404989"/>
    <w:rsid w:val="00405CBA"/>
    <w:rsid w:val="00407182"/>
    <w:rsid w:val="00433B79"/>
    <w:rsid w:val="00461465"/>
    <w:rsid w:val="00466C3A"/>
    <w:rsid w:val="004D534F"/>
    <w:rsid w:val="00506D54"/>
    <w:rsid w:val="005265B9"/>
    <w:rsid w:val="005407A5"/>
    <w:rsid w:val="00596FC3"/>
    <w:rsid w:val="00630D95"/>
    <w:rsid w:val="00641D0B"/>
    <w:rsid w:val="006654AB"/>
    <w:rsid w:val="00676073"/>
    <w:rsid w:val="006815A6"/>
    <w:rsid w:val="006A4C01"/>
    <w:rsid w:val="006A5B36"/>
    <w:rsid w:val="006D1127"/>
    <w:rsid w:val="006E7707"/>
    <w:rsid w:val="006F4BA4"/>
    <w:rsid w:val="00705489"/>
    <w:rsid w:val="00724171"/>
    <w:rsid w:val="00762090"/>
    <w:rsid w:val="00781097"/>
    <w:rsid w:val="00782135"/>
    <w:rsid w:val="00783912"/>
    <w:rsid w:val="007C44B1"/>
    <w:rsid w:val="007F27D3"/>
    <w:rsid w:val="00804918"/>
    <w:rsid w:val="008120A6"/>
    <w:rsid w:val="00837D25"/>
    <w:rsid w:val="00865571"/>
    <w:rsid w:val="008834D6"/>
    <w:rsid w:val="008C5375"/>
    <w:rsid w:val="008D06F4"/>
    <w:rsid w:val="008D6B64"/>
    <w:rsid w:val="008E667D"/>
    <w:rsid w:val="008F10C1"/>
    <w:rsid w:val="0091279F"/>
    <w:rsid w:val="00913C51"/>
    <w:rsid w:val="00914651"/>
    <w:rsid w:val="009304FB"/>
    <w:rsid w:val="00973E93"/>
    <w:rsid w:val="009B3CC2"/>
    <w:rsid w:val="009B524B"/>
    <w:rsid w:val="009C0860"/>
    <w:rsid w:val="009F529C"/>
    <w:rsid w:val="00A20326"/>
    <w:rsid w:val="00A21012"/>
    <w:rsid w:val="00A5443D"/>
    <w:rsid w:val="00A5730B"/>
    <w:rsid w:val="00A72243"/>
    <w:rsid w:val="00A91D49"/>
    <w:rsid w:val="00AA2E2C"/>
    <w:rsid w:val="00AB5452"/>
    <w:rsid w:val="00B0770A"/>
    <w:rsid w:val="00B15130"/>
    <w:rsid w:val="00B311CE"/>
    <w:rsid w:val="00B32BAA"/>
    <w:rsid w:val="00B33308"/>
    <w:rsid w:val="00B437C8"/>
    <w:rsid w:val="00B450B7"/>
    <w:rsid w:val="00B46108"/>
    <w:rsid w:val="00B67328"/>
    <w:rsid w:val="00B7144C"/>
    <w:rsid w:val="00B7435D"/>
    <w:rsid w:val="00B87B73"/>
    <w:rsid w:val="00B907CB"/>
    <w:rsid w:val="00BA277F"/>
    <w:rsid w:val="00BC3B7C"/>
    <w:rsid w:val="00BE1ADB"/>
    <w:rsid w:val="00C04857"/>
    <w:rsid w:val="00C143A5"/>
    <w:rsid w:val="00C54A9D"/>
    <w:rsid w:val="00C55977"/>
    <w:rsid w:val="00C848C2"/>
    <w:rsid w:val="00CF5226"/>
    <w:rsid w:val="00CF6661"/>
    <w:rsid w:val="00D04760"/>
    <w:rsid w:val="00D2117E"/>
    <w:rsid w:val="00D3059C"/>
    <w:rsid w:val="00D368C5"/>
    <w:rsid w:val="00D37193"/>
    <w:rsid w:val="00DA1916"/>
    <w:rsid w:val="00DB17B2"/>
    <w:rsid w:val="00DC391A"/>
    <w:rsid w:val="00DF15EF"/>
    <w:rsid w:val="00E17E26"/>
    <w:rsid w:val="00E45BF2"/>
    <w:rsid w:val="00E54F91"/>
    <w:rsid w:val="00EA512A"/>
    <w:rsid w:val="00EC1F5C"/>
    <w:rsid w:val="00EF2EF1"/>
    <w:rsid w:val="00F11A87"/>
    <w:rsid w:val="00F11ACF"/>
    <w:rsid w:val="00F207BF"/>
    <w:rsid w:val="00F3450F"/>
    <w:rsid w:val="00F36378"/>
    <w:rsid w:val="00F622D2"/>
    <w:rsid w:val="00F63513"/>
    <w:rsid w:val="00F80BA3"/>
    <w:rsid w:val="00F92909"/>
    <w:rsid w:val="00FD282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68C4481"/>
  <w14:defaultImageDpi w14:val="0"/>
  <w15:docId w15:val="{80AE5798-DAE3-4407-A2CE-1DF59C7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24171"/>
    <w:pPr>
      <w:widowControl w:val="0"/>
      <w:spacing w:before="120" w:after="120" w:line="240" w:lineRule="auto"/>
      <w:ind w:left="8"/>
      <w:outlineLvl w:val="0"/>
    </w:pPr>
    <w:rPr>
      <w:rFonts w:ascii="Arial" w:hAnsi="Arial"/>
      <w:b/>
      <w:color w:val="000000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B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101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22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7E26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E1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17E2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345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C0485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048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4857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4857"/>
    <w:rPr>
      <w:rFonts w:cs="Times New Roman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24171"/>
    <w:rPr>
      <w:rFonts w:ascii="Arial" w:hAnsi="Arial" w:cs="Times New Roman"/>
      <w:b/>
      <w:color w:val="000000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24171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B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B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Listentitel">
    <w:name w:val="Listentitel"/>
    <w:rsid w:val="00DA1916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DA1916"/>
    <w:pPr>
      <w:tabs>
        <w:tab w:val="left" w:pos="227"/>
      </w:tabs>
      <w:autoSpaceDE w:val="0"/>
      <w:autoSpaceDN w:val="0"/>
      <w:spacing w:before="60" w:after="0" w:line="240" w:lineRule="auto"/>
      <w:ind w:left="227" w:hanging="227"/>
    </w:pPr>
    <w:rPr>
      <w:rFonts w:ascii="Arial" w:hAnsi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DA1916"/>
    <w:pPr>
      <w:tabs>
        <w:tab w:val="left" w:pos="360"/>
      </w:tabs>
      <w:autoSpaceDE w:val="0"/>
      <w:autoSpaceDN w:val="0"/>
      <w:spacing w:after="0" w:line="240" w:lineRule="auto"/>
    </w:pPr>
    <w:rPr>
      <w:rFonts w:ascii="Arial" w:hAnsi="Arial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A1916"/>
    <w:rPr>
      <w:rFonts w:ascii="Arial" w:hAnsi="Arial" w:cs="Times New Roman"/>
      <w:szCs w:val="24"/>
      <w:lang w:eastAsia="de-DE"/>
    </w:rPr>
  </w:style>
  <w:style w:type="paragraph" w:customStyle="1" w:styleId="SOPSOP-Text">
    <w:name w:val="SOPSOP-Text"/>
    <w:basedOn w:val="Standard"/>
    <w:link w:val="SOPSOP-TextZchn"/>
    <w:autoRedefine/>
    <w:qFormat/>
    <w:rsid w:val="00973E93"/>
    <w:pPr>
      <w:keepNext/>
      <w:numPr>
        <w:numId w:val="11"/>
      </w:numPr>
      <w:tabs>
        <w:tab w:val="left" w:pos="454"/>
      </w:tabs>
      <w:spacing w:before="360" w:after="120" w:line="240" w:lineRule="auto"/>
      <w:ind w:left="454" w:hanging="454"/>
      <w:outlineLvl w:val="0"/>
    </w:pPr>
    <w:rPr>
      <w:rFonts w:ascii="Arial" w:eastAsiaTheme="minorHAnsi" w:hAnsi="Arial" w:cs="Arial"/>
      <w:b/>
    </w:rPr>
  </w:style>
  <w:style w:type="character" w:customStyle="1" w:styleId="SOPSOP-TextZchn">
    <w:name w:val="SOPSOP-Text Zchn"/>
    <w:link w:val="SOPSOP-Text"/>
    <w:rsid w:val="00973E93"/>
    <w:rPr>
      <w:rFonts w:ascii="Arial" w:eastAsiaTheme="minorHAnsi" w:hAnsi="Arial" w:cs="Arial"/>
      <w:b/>
    </w:rPr>
  </w:style>
  <w:style w:type="paragraph" w:customStyle="1" w:styleId="SOPSOP-TextAUFZHLUNG">
    <w:name w:val="SOPSOP-Text_AUFZÄHLUNG"/>
    <w:basedOn w:val="SOPSOP-Text"/>
    <w:autoRedefine/>
    <w:qFormat/>
    <w:rsid w:val="00B7435D"/>
    <w:pPr>
      <w:numPr>
        <w:numId w:val="6"/>
      </w:numPr>
      <w:tabs>
        <w:tab w:val="num" w:pos="360"/>
      </w:tabs>
      <w:ind w:left="641" w:hanging="284"/>
    </w:pPr>
  </w:style>
  <w:style w:type="paragraph" w:customStyle="1" w:styleId="Rckseite">
    <w:name w:val="Rückseite"/>
    <w:basedOn w:val="Standard"/>
    <w:rsid w:val="00B450B7"/>
    <w:pPr>
      <w:spacing w:after="0" w:line="240" w:lineRule="auto"/>
      <w:ind w:left="1134" w:hanging="1134"/>
    </w:pPr>
    <w:rPr>
      <w:rFonts w:ascii="Arial" w:hAnsi="Arial"/>
      <w:b/>
      <w:szCs w:val="24"/>
      <w:lang w:eastAsia="de-DE"/>
    </w:rPr>
  </w:style>
  <w:style w:type="paragraph" w:customStyle="1" w:styleId="SOPTextneu2021">
    <w:name w:val="SOP_Text_neu_2021"/>
    <w:basedOn w:val="Standard"/>
    <w:link w:val="SOPTextneu2021Zchn"/>
    <w:qFormat/>
    <w:rsid w:val="00B450B7"/>
    <w:pPr>
      <w:overflowPunct w:val="0"/>
      <w:autoSpaceDE w:val="0"/>
      <w:autoSpaceDN w:val="0"/>
      <w:adjustRightInd w:val="0"/>
      <w:spacing w:after="120" w:line="240" w:lineRule="auto"/>
      <w:ind w:left="284"/>
      <w:jc w:val="both"/>
      <w:textAlignment w:val="baseline"/>
    </w:pPr>
    <w:rPr>
      <w:rFonts w:ascii="Arial" w:hAnsi="Arial" w:cs="Arial"/>
      <w:color w:val="000000"/>
      <w:lang w:eastAsia="de-DE"/>
    </w:rPr>
  </w:style>
  <w:style w:type="character" w:customStyle="1" w:styleId="SOPTextneu2021Zchn">
    <w:name w:val="SOP_Text_neu_2021 Zchn"/>
    <w:basedOn w:val="Absatz-Standardschriftart"/>
    <w:link w:val="SOPTextneu2021"/>
    <w:rsid w:val="00B450B7"/>
    <w:rPr>
      <w:rFonts w:ascii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3407-21A7-4327-84DE-7DFC64E5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</dc:creator>
  <cp:lastModifiedBy>Reder-Christ, Katrin (ZLG)</cp:lastModifiedBy>
  <cp:revision>4</cp:revision>
  <cp:lastPrinted>2016-06-03T11:18:00Z</cp:lastPrinted>
  <dcterms:created xsi:type="dcterms:W3CDTF">2023-02-06T12:49:00Z</dcterms:created>
  <dcterms:modified xsi:type="dcterms:W3CDTF">2023-02-06T12:54:00Z</dcterms:modified>
</cp:coreProperties>
</file>